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0FA67" w14:textId="5464B58A" w:rsidR="00192EA3" w:rsidRDefault="7C740A19" w:rsidP="335CF40B">
      <w:pPr>
        <w:rPr>
          <w:b/>
          <w:bCs/>
        </w:rPr>
      </w:pPr>
      <w:r w:rsidRPr="335CF40B">
        <w:rPr>
          <w:b/>
          <w:bCs/>
        </w:rPr>
        <w:t xml:space="preserve">INSTRUCTIONS: </w:t>
      </w:r>
      <w:r w:rsidR="00192EA3" w:rsidRPr="335CF40B">
        <w:rPr>
          <w:b/>
          <w:bCs/>
        </w:rPr>
        <w:t xml:space="preserve">Now, Using the two cases provided </w:t>
      </w:r>
      <w:r w:rsidR="6DE9069B" w:rsidRPr="335CF40B">
        <w:rPr>
          <w:b/>
          <w:bCs/>
        </w:rPr>
        <w:t xml:space="preserve">BELOW </w:t>
      </w:r>
      <w:r w:rsidR="00192EA3" w:rsidRPr="335CF40B">
        <w:rPr>
          <w:b/>
          <w:bCs/>
        </w:rPr>
        <w:t>regarding Mr. Brown’s participation in a police line-up, compose a Memorandum of Law arguing whether Mr. Brown was entitled to counsel during lineup.</w:t>
      </w:r>
    </w:p>
    <w:p w14:paraId="6F866A81" w14:textId="5661391C" w:rsidR="00192EA3" w:rsidRDefault="00192EA3" w:rsidP="335CF40B">
      <w:pPr>
        <w:rPr>
          <w:b/>
          <w:bCs/>
        </w:rPr>
      </w:pPr>
    </w:p>
    <w:p w14:paraId="2D76A5B0" w14:textId="295F7288" w:rsidR="00192EA3" w:rsidRPr="00192EA3" w:rsidRDefault="656E7229" w:rsidP="335CF40B">
      <w:pPr>
        <w:jc w:val="center"/>
        <w:rPr>
          <w:b/>
          <w:bCs/>
        </w:rPr>
      </w:pPr>
      <w:r w:rsidRPr="335CF40B">
        <w:rPr>
          <w:b/>
          <w:bCs/>
        </w:rPr>
        <w:t xml:space="preserve">MR. BOWN’S </w:t>
      </w:r>
      <w:r w:rsidR="00192EA3" w:rsidRPr="335CF40B">
        <w:rPr>
          <w:b/>
          <w:bCs/>
        </w:rPr>
        <w:t>Line-Up Information</w:t>
      </w:r>
    </w:p>
    <w:p w14:paraId="2B3E5AFD" w14:textId="77777777" w:rsidR="00192EA3" w:rsidRDefault="00192EA3" w:rsidP="00192EA3"/>
    <w:p w14:paraId="2821165B" w14:textId="58981551" w:rsidR="00192EA3" w:rsidRDefault="00192EA3" w:rsidP="00192EA3">
      <w:r>
        <w:t>The police requested that Cory Brown participate in a lineup. Mr. Brown readily agreed to do so because he was anxious to prove his innocence. However, Mr. Brown participated in the line-up without an attorney. The police never advised him that he had a right to an attorney during the lineup.</w:t>
      </w:r>
    </w:p>
    <w:p w14:paraId="373B8B98" w14:textId="7D028BE6" w:rsidR="00192EA3" w:rsidRDefault="00192EA3" w:rsidP="00192EA3">
      <w:r>
        <w:t xml:space="preserve">The line-up was conducted at the police station. Included in the lineup were a total of six men: one Asian, one Hispanic and four Caucasian. All were of varying heights and weights. Two men were bald while the other four had short dark hair. All appeared to be in their thirties. Each man held a different number. Mr. Brown was assigned to hold the number 1. They were all placed behind one-way glass and never saw the witness.  </w:t>
      </w:r>
    </w:p>
    <w:p w14:paraId="4A372642" w14:textId="5EF2A2AD" w:rsidR="00192EA3" w:rsidRDefault="00192EA3" w:rsidP="00192EA3">
      <w:r>
        <w:t>During the lineup, each man was asked to turn to both sides and to face forward, but not asked to speak. The witness identified Cory Brown. She told the police that she recognized him because she had met him approximately two weeks ago while drinking with friends at Carr’s Dive Bar. She remembered his first name, which she had already shared with the police. Using this information, the police went to Carr’s and asked the bartender if he knew of any patrons by the name of Cory. Following the lineup and based on the witness’ identification, Mr. Brown was arrested.</w:t>
      </w:r>
    </w:p>
    <w:p w14:paraId="69D78932" w14:textId="40C38A78" w:rsidR="00192EA3" w:rsidRDefault="00192EA3" w:rsidP="00192EA3">
      <w:r>
        <w:t>The legal rule is that a Defendant has a right to an attorney if the lineup is a "critical" stage. The general consensus is that an attorney is required post-indictment since the purpose of a lineup at that point is generally for evidence gathering to help the police prove their case. However, if the lineup is for the purpose of investigation, the Defendant is not entitled to an attorney. Two applicable cases are United States v. Wade, 388 U.S. 218 (1967) and Gilbert v. California, 388 U.S. 263 (1967).</w:t>
      </w:r>
    </w:p>
    <w:p w14:paraId="43DACEC0" w14:textId="07FB0BAA" w:rsidR="335CF40B" w:rsidRDefault="335CF40B" w:rsidP="335CF40B"/>
    <w:p w14:paraId="69AF45CD" w14:textId="1DFCEF05" w:rsidR="335CF40B" w:rsidRDefault="335CF40B" w:rsidP="335CF40B"/>
    <w:p w14:paraId="0D95C0FA" w14:textId="229597F4" w:rsidR="335CF40B" w:rsidRDefault="335CF40B" w:rsidP="335CF40B"/>
    <w:p w14:paraId="529A2D85" w14:textId="74E6A568" w:rsidR="335CF40B" w:rsidRDefault="335CF40B" w:rsidP="335CF40B"/>
    <w:p w14:paraId="0226635B" w14:textId="6DA59363" w:rsidR="335CF40B" w:rsidRDefault="335CF40B" w:rsidP="335CF40B"/>
    <w:p w14:paraId="322D2448" w14:textId="5E53B1B1" w:rsidR="335CF40B" w:rsidRDefault="335CF40B" w:rsidP="335CF40B"/>
    <w:p w14:paraId="47B7E54D" w14:textId="5F09DB50" w:rsidR="335CF40B" w:rsidRDefault="335CF40B" w:rsidP="335CF40B"/>
    <w:p w14:paraId="3871FB61" w14:textId="5B7CE5B0" w:rsidR="335CF40B" w:rsidRDefault="335CF40B" w:rsidP="335CF40B"/>
    <w:p w14:paraId="36C815DF" w14:textId="0356BCC0" w:rsidR="335CF40B" w:rsidRDefault="335CF40B" w:rsidP="335CF40B"/>
    <w:p w14:paraId="63561279" w14:textId="17BDDAC1" w:rsidR="335CF40B" w:rsidRDefault="335CF40B" w:rsidP="335CF40B">
      <w:pPr>
        <w:jc w:val="center"/>
        <w:rPr>
          <w:b/>
          <w:bCs/>
          <w:color w:val="FF0000"/>
        </w:rPr>
      </w:pPr>
    </w:p>
    <w:p w14:paraId="007DF470" w14:textId="3582AAF4" w:rsidR="335CF40B" w:rsidRDefault="335CF40B" w:rsidP="335CF40B">
      <w:pPr>
        <w:jc w:val="center"/>
        <w:rPr>
          <w:b/>
          <w:bCs/>
          <w:color w:val="FF0000"/>
        </w:rPr>
      </w:pPr>
    </w:p>
    <w:p w14:paraId="6C83CACA" w14:textId="5FBF8225" w:rsidR="6704F496" w:rsidRDefault="6704F496" w:rsidP="335CF40B">
      <w:pPr>
        <w:jc w:val="center"/>
        <w:rPr>
          <w:b/>
          <w:bCs/>
          <w:color w:val="FF0000"/>
        </w:rPr>
      </w:pPr>
      <w:r w:rsidRPr="335CF40B">
        <w:rPr>
          <w:b/>
          <w:bCs/>
          <w:color w:val="FF0000"/>
        </w:rPr>
        <w:t>CASE 1:</w:t>
      </w:r>
    </w:p>
    <w:p w14:paraId="7BFA0105" w14:textId="4FDF2F56" w:rsidR="24F70997" w:rsidRDefault="24F70997" w:rsidP="335CF40B">
      <w:pPr>
        <w:jc w:val="center"/>
        <w:rPr>
          <w:b/>
          <w:bCs/>
        </w:rPr>
      </w:pPr>
      <w:r w:rsidRPr="335CF40B">
        <w:rPr>
          <w:b/>
          <w:bCs/>
        </w:rPr>
        <w:t>EXCERPT FROM GILBERT v. CALIFORNIA</w:t>
      </w:r>
    </w:p>
    <w:p w14:paraId="43D2AD14" w14:textId="287BC58C" w:rsidR="24F70997" w:rsidRDefault="24F70997" w:rsidP="335CF40B">
      <w:pPr>
        <w:jc w:val="center"/>
      </w:pPr>
      <w:r>
        <w:t>388 U.S. 263 (1967)</w:t>
      </w:r>
    </w:p>
    <w:p w14:paraId="60B73995" w14:textId="20BC5A7A" w:rsidR="24F70997" w:rsidRDefault="24F70997" w:rsidP="335CF40B">
      <w:pPr>
        <w:jc w:val="center"/>
      </w:pPr>
      <w:r>
        <w:t xml:space="preserve">Supreme Court of United States. </w:t>
      </w:r>
    </w:p>
    <w:p w14:paraId="0EB96130" w14:textId="5CA6FD51" w:rsidR="24F70997" w:rsidRDefault="24F70997" w:rsidP="335CF40B">
      <w:pPr>
        <w:jc w:val="center"/>
      </w:pPr>
      <w:r>
        <w:t>Argued February 15-16, 1967. Decided June 12, 1967.</w:t>
      </w:r>
    </w:p>
    <w:p w14:paraId="53378F66" w14:textId="58007E19" w:rsidR="24F70997" w:rsidRDefault="24F70997" w:rsidP="335CF40B">
      <w:pPr>
        <w:jc w:val="center"/>
      </w:pPr>
      <w:r>
        <w:t>CERTIORARI TO THE SUPREME COURT OF CALIFORNIA.</w:t>
      </w:r>
    </w:p>
    <w:p w14:paraId="47BF9AE8" w14:textId="4168EAFA" w:rsidR="24F70997" w:rsidRDefault="24F70997" w:rsidP="335CF40B">
      <w:r>
        <w:t xml:space="preserve"> </w:t>
      </w:r>
    </w:p>
    <w:p w14:paraId="756B7693" w14:textId="78F85247" w:rsidR="24F70997" w:rsidRDefault="24F70997" w:rsidP="335CF40B">
      <w:r>
        <w:t xml:space="preserve"> </w:t>
      </w:r>
    </w:p>
    <w:p w14:paraId="369ED571" w14:textId="7D1B4C6B" w:rsidR="24F70997" w:rsidRDefault="24F70997" w:rsidP="335CF40B">
      <w:r>
        <w:t>MR. JUSTICE BRENNAN delivered the opinion of the Court.</w:t>
      </w:r>
    </w:p>
    <w:p w14:paraId="5CB7D901" w14:textId="4BB0FEFD" w:rsidR="24F70997" w:rsidRDefault="24F70997" w:rsidP="335CF40B">
      <w:r>
        <w:t>This case was argued with United States v. Wade, ante, p. 218, and presents the same alleged constitutional error in the admission in evidence of in-court identifications there considered. In addition, petitioner alleges constitutional errors in the admission in evidence of testimony of some of the witnesses that they also identified him at the line-up.</w:t>
      </w:r>
    </w:p>
    <w:p w14:paraId="2AC1FFC2" w14:textId="121680DC" w:rsidR="24F70997" w:rsidRDefault="24F70997" w:rsidP="335CF40B">
      <w:r>
        <w:t>Petitioner was convicted in the Superior Court of California of the armed robbery of the Mutual Savings and Loan Association of Alhambra and the murder of a police officer who entered during the course of the robbery. There were separate guilt and penalty stages of the trial before the same jury, which rendered a guilty verdict and imposed the death penalty. The California Supreme Court affirmed, 63 Cal. 2d 690, 408 P. 2d 365. We granted certiorari, 384 U. S. 985, and set the case for argument with Wade and with Stovall v. Denno, post, p. 293. If our holding today in Wade is applied to this case, the issue whether admission of the in-court and line-up identifications is constitutional error which requires a new trial could be resolved on this record only after further proceedings in the California courts. We must therefore first determine whether petitioner's other contentions warrant any greater relief.</w:t>
      </w:r>
    </w:p>
    <w:p w14:paraId="6E70D4E1" w14:textId="7A9B4677" w:rsidR="24F70997" w:rsidRDefault="24F70997" w:rsidP="335CF40B">
      <w:pPr>
        <w:rPr>
          <w:b/>
          <w:bCs/>
        </w:rPr>
      </w:pPr>
      <w:r w:rsidRPr="335CF40B">
        <w:rPr>
          <w:b/>
          <w:bCs/>
        </w:rPr>
        <w:t>THE IN-COURT AND LINE-UP IDENTIFICATIONS.</w:t>
      </w:r>
    </w:p>
    <w:p w14:paraId="502BE018" w14:textId="41DDDE88" w:rsidR="24F70997" w:rsidRDefault="24F70997" w:rsidP="335CF40B">
      <w:r>
        <w:t>Since none of the petitioner's other contentions warrants relief, the issue becomes what relief is required by application to this case of the principles today announced in United States v. Wade, supra.</w:t>
      </w:r>
    </w:p>
    <w:p w14:paraId="7DAE35BC" w14:textId="2A3B03AD" w:rsidR="24F70997" w:rsidRDefault="24F70997" w:rsidP="335CF40B">
      <w:r>
        <w:t>Three eyewitnesses to the Alhambra crimes who identified Gilbert at the guilt stage of the trial had observed him at a line-up conducted without notice to his counsel in a Los Angeles auditorium 16 days after his indictment and after appointment of counsel. The manager of the apartment house in which incriminating evidence was found, and in which Gilbert allegedly resided, identified Gilbert in the courtroom and also testified, in substance, to her prior line-up identification on examination by the  State. Eight witnesses who identified him in the courtroom at the penalty stage were not eyewitnesses to the Alhambra crimes but to other robberies allegedly committed by him. In addition to their in-court identifications, these witnesses also testified that they identified Gilbert at the same line-up.</w:t>
      </w:r>
    </w:p>
    <w:p w14:paraId="5FC5D4C5" w14:textId="264B5149" w:rsidR="24F70997" w:rsidRDefault="24F70997" w:rsidP="335CF40B">
      <w:r>
        <w:lastRenderedPageBreak/>
        <w:t>The line-up was on a stage behind bright lights which prevented those in the line from seeing the audience. Upwards of 100 persons were in the audience, each eyewitnesses to one of the several robberies charged to Gilbert. The record is otherwise virtually silent as to what occurred at the line-up.</w:t>
      </w:r>
    </w:p>
    <w:p w14:paraId="037A08F7" w14:textId="25DB4C95" w:rsidR="24F70997" w:rsidRDefault="24F70997" w:rsidP="335CF40B">
      <w:r>
        <w:t>At the guilt stage, after the first witness, a cashier of the savings and loan association, identified Gilbert in the courtroom, defense counsel moved, out of the presence of the jury, to strike her testimony on the ground that she identified Gilbert at the pretrial line-up conducted in the absence of counsel in violation of the Sixth Amendment made applicable to the States by the Fourteenth Amendment. Gideon v. Wainwright, 372 U. S. 335. He requested a hearing outside the presence of the jury to present evidence supporting his claim that her in-court identification was, and others to be elicited by the State from other eyewitnesses would be, "predicated at least in large part upon their identification or purported identification of Mr. Gilbert at the show up . . . ." The trial judge denied the motion as premature. Defense counsel then elicited the fact of the cashier's line-up identification on cross-examination and again moved to strike her identification testimony. Without passing on the merits of the Sixth Amendment claim, the trial judge denied the motion on the ground that, assuming a violation, it would not in any event entitle Gilbert to suppression of the in-court identification. Defense counsel thereafter elicited the fact of line-up identifications from two other eyewitnesses who on direct examination identified Gilbert in the courtroom. Defense counsel unsuccessfully objected at the penalty stage, to the testimony of the eight witnesses to the other robberies that they identified Gilbert at the line-up.</w:t>
      </w:r>
    </w:p>
    <w:p w14:paraId="1EBBDB0A" w14:textId="4B70507D" w:rsidR="24F70997" w:rsidRDefault="24F70997" w:rsidP="335CF40B">
      <w:r>
        <w:t>The admission of the in-court identifications without first determining that they were not tainted by the illegal line-up but were of independent origin was constitutional error. United States v. Wade, supra. We there held that a post-indictment pretrial line-up at which the accused is exhibited to identifying witnesses is a critical stage of the criminal prosecution; that police conduct of such a line-up without notice to and in the absence of his counsel denies the accused his Sixth Amendment right to counsel and calls in question the admissibility at trial of the in-court identifications of the accused by witnesses who attended the line-up. However, as in Wade, the record does not permit an informed judgment whether the in-court identifications at the two stages of the trial had an independent source. Gilbert is therefore entitled only to a vacation of his conviction pending the holding of such proceedings as the California Supreme Court may deem appropriate to afford the State the opportunity to establish that the in-court identifications had an independent source, or that their introduction in evidence was in any event harmless error.</w:t>
      </w:r>
    </w:p>
    <w:p w14:paraId="23544837" w14:textId="2D119029" w:rsidR="24F70997" w:rsidRDefault="24F70997" w:rsidP="335CF40B">
      <w:r>
        <w:t>Quite different considerations are involved as to the admission of the testimony of the manager of the apartment house at the guilt phase and of the eight witnesses at the penalty stage that they identified Gilbert at the line-up. That testimony is the direct result of the illegal line-up "come at by exploitation of [the primary] illegality." Wong Sun v. United States, 371 U. S. 471, 488. The State is therefore not entitled to an opportunity to show that that testimony had an independent source. Only a per se exclusionary rule as to such testimony can be an effective sanction to assure that law enforcement authorities will respect the accused's constitutional right to the presence of his counsel at the critical line-up. In the absence of legislative regulations adequate to avoid the hazards to a fair trial which in-here in line-ups as presently conducted, the desirability of deterring the constitutionally objectionable practice must prevail over the undesirability of excluding relevant evidence. Cf. Mapp v. Ohio, 367 U. S. 643. That conclusion is buttressed by the consideration that the witness' testimony of his line-up identification will enhance the impact of his in-court identification on the jury and seriously aggravate whatever derogation exists of the accused's right to a fair trial. Therefore, unless the California Supreme Court is "able to declare a belief that it was harmless beyond a reasonable doubt," Chapman v. California, 386 U. S. 18, 24, Gilbert will be entitled on remand to a new trial or, if no prejudicial error is found on the guilt stage but only in the penalty stage, to whatever relief California law affords where the penalty stage must be set aside.</w:t>
      </w:r>
    </w:p>
    <w:p w14:paraId="50A51D42" w14:textId="11577532" w:rsidR="24F70997" w:rsidRDefault="24F70997" w:rsidP="335CF40B">
      <w:r>
        <w:t>The judgment of the California Supreme Court and the conviction are vacated, and the case is remanded to that court for further proceedings not inconsistent with this opinion.</w:t>
      </w:r>
    </w:p>
    <w:p w14:paraId="72B25520" w14:textId="28D304E3" w:rsidR="24F70997" w:rsidRDefault="24F70997" w:rsidP="335CF40B">
      <w:r>
        <w:t>It is so ordered.</w:t>
      </w:r>
    </w:p>
    <w:p w14:paraId="39B8EDE1" w14:textId="0636C590" w:rsidR="24F70997" w:rsidRDefault="24F70997" w:rsidP="335CF40B">
      <w:r>
        <w:t>…objects in plain sight which would aid in identification. He stated that a detailed search for guns and money was not conducted until after a warrant had been issued over three hours later.  Agent Townsend said he arrived at the apartment "sometime between perhaps 1:30 and 2:00," and that "well within an hour" he, Agent Crowley, another agent and a local officer conducted a detailed search of the bedroom. He stated that they "looked through the bedroom closet and dresser and I think . . . the headstand." A substantial sum of money was found in the dresser. Townsend could not "specifically say" whether Crowley was in the bedroom at the time the money was found. This testimony might support a finding that the officers were engaged in a general search of the bedroom at the time the photos were found.</w:t>
      </w:r>
    </w:p>
    <w:p w14:paraId="59FFB053" w14:textId="345ECACC" w:rsidR="24F70997" w:rsidRDefault="24F70997" w:rsidP="335CF40B">
      <w:r>
        <w:t>The testimony of the agents concerning their time of arrival in the apartment is not inconsistent with any of the three possible conclusions as to the scope of search. Taking Townsend's testimony together with Crowley's, it can be concluded that the two arrived at about the same time. Agent Schlatter's testimony that Crowley arrived with him at 1:05, however, supports a conclusion that Crowley had begun his activities before Townsend arrived. Then there is the testimony of Agent Kiel, who did not enter the apartment, that he obtained the photos while talking with the landlady "approximately 1:25 to 1:30," about the same time that both Crowley and Townsend testified they arrived. In sum, the testimony concerning the timing of the events surrounding the search is both approximate and itself contradictory.</w:t>
      </w:r>
    </w:p>
    <w:p w14:paraId="04F2CC23" w14:textId="06792529" w:rsidR="335CF40B" w:rsidRDefault="335CF40B" w:rsidP="335CF40B"/>
    <w:p w14:paraId="5F99A6A1" w14:textId="44C84C35" w:rsidR="335CF40B" w:rsidRDefault="335CF40B" w:rsidP="335CF40B"/>
    <w:p w14:paraId="6B810F3D" w14:textId="0B9A93B0" w:rsidR="335CF40B" w:rsidRDefault="335CF40B" w:rsidP="335CF40B">
      <w:pPr>
        <w:jc w:val="center"/>
        <w:rPr>
          <w:b/>
          <w:bCs/>
          <w:color w:val="FF0000"/>
        </w:rPr>
      </w:pPr>
    </w:p>
    <w:p w14:paraId="02336FF1" w14:textId="7A3F44A3" w:rsidR="335CF40B" w:rsidRDefault="335CF40B" w:rsidP="335CF40B">
      <w:pPr>
        <w:jc w:val="center"/>
        <w:rPr>
          <w:b/>
          <w:bCs/>
          <w:color w:val="FF0000"/>
        </w:rPr>
      </w:pPr>
    </w:p>
    <w:p w14:paraId="53238D66" w14:textId="1D3DE072" w:rsidR="335CF40B" w:rsidRDefault="335CF40B" w:rsidP="335CF40B">
      <w:pPr>
        <w:jc w:val="center"/>
        <w:rPr>
          <w:b/>
          <w:bCs/>
          <w:color w:val="FF0000"/>
        </w:rPr>
      </w:pPr>
    </w:p>
    <w:p w14:paraId="56898B64" w14:textId="15CE05AE" w:rsidR="335CF40B" w:rsidRDefault="335CF40B" w:rsidP="335CF40B">
      <w:pPr>
        <w:jc w:val="center"/>
        <w:rPr>
          <w:b/>
          <w:bCs/>
          <w:color w:val="FF0000"/>
        </w:rPr>
      </w:pPr>
    </w:p>
    <w:p w14:paraId="5E6A7EED" w14:textId="641E1D24" w:rsidR="335CF40B" w:rsidRDefault="335CF40B" w:rsidP="335CF40B">
      <w:pPr>
        <w:jc w:val="center"/>
        <w:rPr>
          <w:b/>
          <w:bCs/>
          <w:color w:val="FF0000"/>
        </w:rPr>
      </w:pPr>
    </w:p>
    <w:p w14:paraId="43F61BB2" w14:textId="35A3E845" w:rsidR="335CF40B" w:rsidRDefault="335CF40B" w:rsidP="335CF40B">
      <w:pPr>
        <w:jc w:val="center"/>
        <w:rPr>
          <w:b/>
          <w:bCs/>
          <w:color w:val="FF0000"/>
        </w:rPr>
      </w:pPr>
    </w:p>
    <w:p w14:paraId="319A6373" w14:textId="39AC7403" w:rsidR="335CF40B" w:rsidRDefault="335CF40B" w:rsidP="335CF40B">
      <w:pPr>
        <w:jc w:val="center"/>
        <w:rPr>
          <w:b/>
          <w:bCs/>
          <w:color w:val="FF0000"/>
        </w:rPr>
      </w:pPr>
    </w:p>
    <w:p w14:paraId="54F14F67" w14:textId="1F2264F2" w:rsidR="335CF40B" w:rsidRDefault="335CF40B" w:rsidP="335CF40B">
      <w:pPr>
        <w:jc w:val="center"/>
        <w:rPr>
          <w:b/>
          <w:bCs/>
          <w:color w:val="FF0000"/>
        </w:rPr>
      </w:pPr>
    </w:p>
    <w:p w14:paraId="0AA23014" w14:textId="1B8C31B8" w:rsidR="335CF40B" w:rsidRDefault="335CF40B" w:rsidP="335CF40B">
      <w:pPr>
        <w:jc w:val="center"/>
        <w:rPr>
          <w:b/>
          <w:bCs/>
          <w:color w:val="FF0000"/>
        </w:rPr>
      </w:pPr>
    </w:p>
    <w:p w14:paraId="2E9121CE" w14:textId="41356E3A" w:rsidR="335CF40B" w:rsidRDefault="335CF40B" w:rsidP="335CF40B">
      <w:pPr>
        <w:rPr>
          <w:b/>
          <w:bCs/>
          <w:color w:val="FF0000"/>
        </w:rPr>
      </w:pPr>
    </w:p>
    <w:p w14:paraId="13581F5D" w14:textId="035F2E14" w:rsidR="335CF40B" w:rsidRDefault="335CF40B" w:rsidP="335CF40B">
      <w:pPr>
        <w:jc w:val="center"/>
        <w:rPr>
          <w:b/>
          <w:bCs/>
          <w:color w:val="FF0000"/>
        </w:rPr>
      </w:pPr>
    </w:p>
    <w:p w14:paraId="54FC3BD6" w14:textId="027696CF" w:rsidR="379AD382" w:rsidRDefault="379AD382" w:rsidP="335CF40B">
      <w:pPr>
        <w:jc w:val="center"/>
        <w:rPr>
          <w:b/>
          <w:bCs/>
          <w:color w:val="FF0000"/>
        </w:rPr>
      </w:pPr>
      <w:r w:rsidRPr="335CF40B">
        <w:rPr>
          <w:b/>
          <w:bCs/>
          <w:color w:val="FF0000"/>
        </w:rPr>
        <w:t>CASE 2:</w:t>
      </w:r>
    </w:p>
    <w:p w14:paraId="3134B51B" w14:textId="715DAC9A" w:rsidR="379AD382" w:rsidRDefault="379AD382" w:rsidP="335CF40B">
      <w:pPr>
        <w:jc w:val="center"/>
        <w:rPr>
          <w:b/>
          <w:bCs/>
          <w:color w:val="000000" w:themeColor="text1"/>
        </w:rPr>
      </w:pPr>
      <w:r w:rsidRPr="335CF40B">
        <w:rPr>
          <w:b/>
          <w:bCs/>
          <w:color w:val="000000" w:themeColor="text1"/>
        </w:rPr>
        <w:t>EXCERPT - UNITED STATES v. WADE, 388 U.S. 218 (1967)</w:t>
      </w:r>
    </w:p>
    <w:p w14:paraId="0955753A" w14:textId="2BCC0027" w:rsidR="379AD382" w:rsidRDefault="379AD382" w:rsidP="335CF40B">
      <w:pPr>
        <w:jc w:val="center"/>
        <w:rPr>
          <w:color w:val="000000" w:themeColor="text1"/>
        </w:rPr>
      </w:pPr>
      <w:r w:rsidRPr="335CF40B">
        <w:rPr>
          <w:color w:val="000000" w:themeColor="text1"/>
        </w:rPr>
        <w:t>Argued February 16, 1967.</w:t>
      </w:r>
    </w:p>
    <w:p w14:paraId="06564CC8" w14:textId="07A1D0B3" w:rsidR="379AD382" w:rsidRDefault="379AD382" w:rsidP="335CF40B">
      <w:pPr>
        <w:jc w:val="center"/>
        <w:rPr>
          <w:color w:val="000000" w:themeColor="text1"/>
        </w:rPr>
      </w:pPr>
      <w:r w:rsidRPr="335CF40B">
        <w:rPr>
          <w:color w:val="000000" w:themeColor="text1"/>
        </w:rPr>
        <w:t>Decided June 12, 1967.</w:t>
      </w:r>
    </w:p>
    <w:p w14:paraId="15EF02C3" w14:textId="4880C724" w:rsidR="379AD382" w:rsidRDefault="379AD382" w:rsidP="335CF40B">
      <w:pPr>
        <w:rPr>
          <w:color w:val="000000" w:themeColor="text1"/>
        </w:rPr>
      </w:pPr>
      <w:r w:rsidRPr="335CF40B">
        <w:rPr>
          <w:color w:val="000000" w:themeColor="text1"/>
        </w:rPr>
        <w:t xml:space="preserve"> </w:t>
      </w:r>
    </w:p>
    <w:p w14:paraId="7B6830B8" w14:textId="47089C7F" w:rsidR="379AD382" w:rsidRDefault="379AD382" w:rsidP="335CF40B">
      <w:pPr>
        <w:rPr>
          <w:color w:val="000000" w:themeColor="text1"/>
        </w:rPr>
      </w:pPr>
      <w:r w:rsidRPr="335CF40B">
        <w:rPr>
          <w:color w:val="000000" w:themeColor="text1"/>
        </w:rPr>
        <w:t>The question here is whether courtroom identifications of an accused at trial are to be excluded from evidence because the accused was exhibited to the witnesses before trial at a post-indictment line-up conducted for identification purposes without notice to and in the absence of the accused's appointed counsel.</w:t>
      </w:r>
    </w:p>
    <w:p w14:paraId="1128A956" w14:textId="38361184" w:rsidR="379AD382" w:rsidRDefault="379AD382" w:rsidP="335CF40B">
      <w:pPr>
        <w:rPr>
          <w:color w:val="000000" w:themeColor="text1"/>
        </w:rPr>
      </w:pPr>
      <w:r w:rsidRPr="335CF40B">
        <w:rPr>
          <w:color w:val="000000" w:themeColor="text1"/>
        </w:rPr>
        <w:t>The federally insured bank in Eustace, Texas, was robbed on September 21, 1964. A man with a small strip of tape on each side of his face entered the bank, pointed a pistol at the female cashier and the vice president, the only persons in the bank at the time, and forced them to fill a pillowcase with the bank's money. The man then drove away with an accomplice who had been waiting in a stolen car outside the bank. On March 23, 1965, an indictment was returned against respondent, Wade, and two others for conspiring to rob the bank, and against Wade and the accomplice for the robbery itself. Wade was arrested on April 2, and counsel was appointed to represent him on April 26. Fifteen days later an FBI agent, without notice to Wade's lawyer, arranged to have the two bank employees observe a line-up made up of Wade and five or six other prisoners and conducted in a courtroom of the local county courthouse. Each person in the line wore strips of tape such as allegedly worn by the robber and upon direction each said something like "put the money in the bag," the words allegedly uttered by the robber. Both bank employees identified Wade in the line-up as the bank robber.</w:t>
      </w:r>
    </w:p>
    <w:p w14:paraId="6F90E7CC" w14:textId="0F59BB13" w:rsidR="379AD382" w:rsidRDefault="379AD382" w:rsidP="335CF40B">
      <w:pPr>
        <w:rPr>
          <w:color w:val="000000" w:themeColor="text1"/>
        </w:rPr>
      </w:pPr>
      <w:r w:rsidRPr="335CF40B">
        <w:rPr>
          <w:color w:val="000000" w:themeColor="text1"/>
        </w:rPr>
        <w:t>At trial, the two employees, when asked on direct examination if the robber was in the courtroom, pointed to Wade. The prior line-up identification was then elicited from both employees on cross-examination. At the close of testimony, Wade's counsel moved for a judgment of acquittal or, alternatively, to strike the bank officials' courtroom identifications on the ground that conduct of the line-up, without notice to and in the absence of his appointed counsel, violated his Fifth Amendment privilege against self-incrimination and his Sixth Amendment right to the assistance of counsel. The motion was denied, and Wade was convicted. The Court of Appeals for the Fifth Circuit reversed the conviction and ordered a new trial at which the in-court identification evidence was to be excluded, holding that, though the line-up did not violate Wade's Fifth Amendment rights, "the line-up, held as it was, in the absence of counsel, already chosen to represent appellant, was a violation of his Sixth Amendment rights . . . ." 358 F.2d 557, 560. We granted certiorari, 385 U.S. 811 , and set the case for oral argument with No. 223, Gilbert v. California, post,  and No. 254, Stovall v. Denno, post, which present similar questions. We reverse the judgment of the Court of Appeals and remand to that court with direction to enter a new judgment vacating the conviction and remanding the case to the District Court for further proceedings consistent with this opinion.</w:t>
      </w:r>
    </w:p>
    <w:p w14:paraId="2AAD443F" w14:textId="34FCA3DF" w:rsidR="379AD382" w:rsidRDefault="379AD382" w:rsidP="335CF40B">
      <w:pPr>
        <w:rPr>
          <w:color w:val="000000" w:themeColor="text1"/>
        </w:rPr>
      </w:pPr>
      <w:r w:rsidRPr="335CF40B">
        <w:rPr>
          <w:color w:val="000000" w:themeColor="text1"/>
        </w:rPr>
        <w:t xml:space="preserve"> </w:t>
      </w:r>
    </w:p>
    <w:p w14:paraId="61F6BA1F" w14:textId="09EF645F" w:rsidR="379AD382" w:rsidRDefault="379AD382" w:rsidP="335CF40B">
      <w:pPr>
        <w:ind w:left="720"/>
        <w:rPr>
          <w:color w:val="000000" w:themeColor="text1"/>
        </w:rPr>
      </w:pPr>
      <w:r w:rsidRPr="335CF40B">
        <w:rPr>
          <w:color w:val="000000" w:themeColor="text1"/>
        </w:rPr>
        <w:t>II.     The fact that the line-up involved no violation of Wade's privilege against self-incrimination does not, however, dispose of his contention that the courtroom identifications should have been excluded because the line-up was conducted without notice to and in the absence of his counsel. Our rejection of the right to counsel claim in Schmerber rested on our conclusion in that case that "[n]o issue of counsel's ability to assist petitioner in respect of any rights he did possess is presented." 384 U.S., at 766. In contrast, in this case it is urged that the assistance of counsel at the line-up was indispensable to protect Wade's most basic right as a criminal defendant his right to a fair trial at which the witnesses against him might be meaningfully cross-examined.</w:t>
      </w:r>
    </w:p>
    <w:p w14:paraId="18B4992E" w14:textId="5CC3385C" w:rsidR="379AD382" w:rsidRDefault="379AD382" w:rsidP="335CF40B">
      <w:pPr>
        <w:ind w:left="720"/>
        <w:rPr>
          <w:color w:val="000000" w:themeColor="text1"/>
        </w:rPr>
      </w:pPr>
      <w:r w:rsidRPr="335CF40B">
        <w:rPr>
          <w:color w:val="000000" w:themeColor="text1"/>
        </w:rPr>
        <w:t>The Framers of the Bill of Rights envisaged a broader role for counsel than under the practice then prevailing in England of merely advising his client in "matters of law," and eschewing any responsibility for "matters of fact." 2 The constitutions in at least 11 of the 13 States expressly or impliedly abolished this distinction. Powell v. Alabama, 287 U.S. 45, 60 -65; Note, 73 Yale L. J. 1000, 1030-1033 (1964). "Though the colonial provisions about counsel were in accord on few things, they agreed on the necessity of abolishing the facts-law distinction; the colonists appreciated that if a defendant were forced to stand alone against the state, his case was foredoomed." 73 Yale L. J., supra, at 1033-1034. This background is reflected in the scope given by our decisions to the Sixth Amendment's guarantee to an accused of the assistance of counsel for his defense. When the Bill of Rights was adopted, there were no organized police forces as we know them today. 3 The accused confronted the prosecutor and the witnesses against him, and the evidence was marshaled, largely at the trial itself. In contrast, today's law enforcement machinery involves critical confrontations of the accused by the prosecution at pretrial proceedings where the results might well settle the accused's fate and reduce the trial itself to a mere formality. In recognition of these realities of modern criminal prosecution, our cases have construed the Sixth Amendment guarantee to apply to "critical" stages of the proceedings. The guarantee reads: "In all criminal [388 U.S. 218, 225]   prosecutions, the accused shall enjoy the right . . . to have the Assistance of Counsel for his defense." (Emphasis supplied.) The plain wording of this guarantee thus encompasses counsel's assistance whenever necessary to assure a meaningful "defense."</w:t>
      </w:r>
    </w:p>
    <w:p w14:paraId="21744A07" w14:textId="4F33C52A" w:rsidR="379AD382" w:rsidRDefault="379AD382" w:rsidP="335CF40B">
      <w:pPr>
        <w:rPr>
          <w:color w:val="000000" w:themeColor="text1"/>
        </w:rPr>
      </w:pPr>
      <w:r w:rsidRPr="335CF40B">
        <w:rPr>
          <w:color w:val="000000" w:themeColor="text1"/>
        </w:rPr>
        <w:t xml:space="preserve"> </w:t>
      </w:r>
    </w:p>
    <w:p w14:paraId="67E92F6A" w14:textId="6AD96342" w:rsidR="379AD382" w:rsidRDefault="379AD382" w:rsidP="335CF40B">
      <w:pPr>
        <w:ind w:left="720"/>
        <w:rPr>
          <w:color w:val="000000" w:themeColor="text1"/>
        </w:rPr>
      </w:pPr>
      <w:r w:rsidRPr="335CF40B">
        <w:rPr>
          <w:color w:val="000000" w:themeColor="text1"/>
        </w:rPr>
        <w:t>As early as Powell v. Alabama, supra, we recognized that the period from arraignment to trial was "perhaps the most critical period of the proceedings . . .," id., at 57, during which the accused "requires the guiding hand of counsel . . .," id., at 69, if the guarantee is not to prove an empty right. That principle has since been applied to require the assistance of counsel at the type of arraignment for example, that provided by Alabama where certain rights might be sacrificed or lost: "What happens there may affect the whole trial. Available defenses may be irretrievably lost, if not then and there asserted . . . ." Hamilton v. Alabama, 368 U.S. 52, 54. See White v. Maryland, 373 U.S. 59. The principle was also applied in Massiah v. United States, 377 U.S. 201 , where we held that incriminating statements of the defendant should have been excluded from evidence when it appeared that they were overheard by federal agents who, without notice to the defendant's lawyer, arranged a meeting between the defendant and an accomplice turned informant. We said, quoting a concurring opinion in Spano v. New York, 360 U.S. 315, 326, that "[a]nything less . . . might deny a defendant `effective representation by counsel at the only stage when legal aid and advice would help him.'" 377 U.S., at 204.</w:t>
      </w:r>
    </w:p>
    <w:p w14:paraId="63A30DD4" w14:textId="09101030" w:rsidR="379AD382" w:rsidRDefault="379AD382" w:rsidP="335CF40B">
      <w:pPr>
        <w:ind w:left="720"/>
        <w:rPr>
          <w:color w:val="000000" w:themeColor="text1"/>
        </w:rPr>
      </w:pPr>
      <w:r w:rsidRPr="335CF40B">
        <w:rPr>
          <w:color w:val="000000" w:themeColor="text1"/>
        </w:rPr>
        <w:t>In Escobedo v. Illinois, 378 U.S. 478, we drew upon the rationale of Hamilton and Massiah in holding that the right to counsel was guaranteed at the point where the accused, prior to arraignment, was subjected to secret interrogation despite repeated requests to see his lawyer. We again noted the necessity of counsel's presence [388 U.S. 218, 226] if the accused was to have a fair opportunity to present a defense at the trial itself:</w:t>
      </w:r>
    </w:p>
    <w:p w14:paraId="2BC9CFF1" w14:textId="51853D0D" w:rsidR="379AD382" w:rsidRDefault="379AD382" w:rsidP="335CF40B">
      <w:pPr>
        <w:ind w:left="720"/>
        <w:rPr>
          <w:color w:val="000000" w:themeColor="text1"/>
        </w:rPr>
      </w:pPr>
      <w:r w:rsidRPr="335CF40B">
        <w:rPr>
          <w:color w:val="000000" w:themeColor="text1"/>
        </w:rPr>
        <w:t>"The rule sought by the State here, however, would make the trial no more than an appeal from the interrogation; and the `right to use counsel at the formal trial [would be] a very hollow thing [if], for all practical purposes, the conviction is already assured by pretrial examination' . . . . `One can imagine a cynical prosecutor saying: "Let them have the most illustrious counsel, now. They can't escape the noose. There is nothing that counsel can do for them at the trial."'" 378 U.S., at 487 -488.</w:t>
      </w:r>
    </w:p>
    <w:p w14:paraId="34B405F9" w14:textId="047BDA23" w:rsidR="379AD382" w:rsidRDefault="379AD382" w:rsidP="335CF40B">
      <w:pPr>
        <w:ind w:left="720"/>
        <w:rPr>
          <w:color w:val="000000" w:themeColor="text1"/>
        </w:rPr>
      </w:pPr>
      <w:r w:rsidRPr="335CF40B">
        <w:rPr>
          <w:color w:val="000000" w:themeColor="text1"/>
        </w:rPr>
        <w:t>Finally in Miranda v. Arizona, 384 U.S. 436, the rules established for custodial interrogation included the right to the presence of counsel. The result was rested on our finding that this and the other rules were necessary to safeguard the privilege against self-incrimination from being jeopardized by such interrogation.</w:t>
      </w:r>
    </w:p>
    <w:p w14:paraId="30883572" w14:textId="70219D9B" w:rsidR="379AD382" w:rsidRDefault="379AD382" w:rsidP="335CF40B">
      <w:pPr>
        <w:ind w:left="720"/>
        <w:rPr>
          <w:color w:val="000000" w:themeColor="text1"/>
        </w:rPr>
      </w:pPr>
      <w:r w:rsidRPr="335CF40B">
        <w:rPr>
          <w:color w:val="000000" w:themeColor="text1"/>
        </w:rPr>
        <w:t>Of course, nothing decided or said in the opinions in the cited cases links the right to counsel only to protection of Fifth Amendment rights. Rather those decisions "no more than reflect a constitutional principle established as long ago as Powell v. Alabama . . . ." Massiah v. United States, supra, at 205. It is central to that principle that in addition to counsel's presence at trial, 4 the accused is guaranteed that he need not stand alone against the State at any stage of the prosecution, formal or informal, in court or out, where counsel's absence might derogate from the accused's right to a fair trial. 5 The security of that right is as much the aim of the right to counsel as it is of the other guarantees of the [388 U.S. 218, 227]   Sixth Amendment the right of the accused to a speedy and public trial by an impartial jury, his right to be informed of the nature and cause of the accusation, and his right to be confronted with the witnesses against him and to have compulsory process for obtaining witnesses in his favor. The presence of counsel at such critical confrontations, as at the trial itself, operates to assure that the accused's interests will be protected consistently with out adversary theory of criminal prosecution. Cf. Pointer v. Texas, 380 U.S. 400.</w:t>
      </w:r>
    </w:p>
    <w:p w14:paraId="40E19284" w14:textId="2A66284F" w:rsidR="379AD382" w:rsidRDefault="379AD382" w:rsidP="335CF40B">
      <w:pPr>
        <w:ind w:left="720"/>
        <w:rPr>
          <w:color w:val="000000" w:themeColor="text1"/>
        </w:rPr>
      </w:pPr>
      <w:r w:rsidRPr="335CF40B">
        <w:rPr>
          <w:color w:val="000000" w:themeColor="text1"/>
        </w:rPr>
        <w:t>In sum, the principle of Powell v. Alabama and succeeding cases requires that we scrutinize any pretrial confrontation of the accused to determine whether the presence of his counsel is necessary to preserve the defendant's basic right to a fair trial as affected by his right meaningfully to cross-examine the witnesses against him and to have effective assistance of counsel at the trial itself. It calls upon us to analyze whether potential substantial prejudice to defendant's rights inheres in the particular confrontation and the ability of counsel to help avoid that prejudice.</w:t>
      </w:r>
    </w:p>
    <w:p w14:paraId="2E2826C4" w14:textId="568E9EF2" w:rsidR="379AD382" w:rsidRDefault="379AD382" w:rsidP="335CF40B">
      <w:pPr>
        <w:ind w:left="720"/>
        <w:rPr>
          <w:color w:val="000000" w:themeColor="text1"/>
        </w:rPr>
      </w:pPr>
      <w:r w:rsidRPr="335CF40B">
        <w:rPr>
          <w:color w:val="000000" w:themeColor="text1"/>
        </w:rPr>
        <w:t>III.     The Government characterizes the line-up as a mere preparatory step in the gathering of the prosecution's evidence, not different for Sixth Amendment purposes  from various other preparatory steps, such as systematized or scientific analyzing of the accused's fingerprints, blood sample, clothing, hair, and the like. We think there are differences which preclude such stages being characterized as critical stages at which the accused has the right to the presence of his counsel. Knowledge of the techniques of science and technology is sufficiently available, and the variables in techniques few enough, that the accused has the opportunity for a meaningful confrontation of the Government's case at trial through the ordinary processes of cross-examination of the Government's expert witnesses and the presentation of the evidence of his own experts. The denial of a right to have his counsel present at such analyses does not therefore violate the Sixth Amendment; they are not critical stages since there is minimal risk that his counsel's absence at such stages might derogate from his right to a fair trial.</w:t>
      </w:r>
    </w:p>
    <w:p w14:paraId="5423E5C0" w14:textId="0CB818EA" w:rsidR="379AD382" w:rsidRDefault="379AD382" w:rsidP="335CF40B">
      <w:pPr>
        <w:ind w:left="720"/>
        <w:rPr>
          <w:color w:val="000000" w:themeColor="text1"/>
        </w:rPr>
      </w:pPr>
      <w:r w:rsidRPr="335CF40B">
        <w:rPr>
          <w:color w:val="000000" w:themeColor="text1"/>
        </w:rPr>
        <w:t>IV.     But the confrontation compelled by the State between the accused and the victim or witnesses to a crime to elicit identification evidence is peculiarly riddled with innumerable dangers and variable factors which might seriously, even crucially, derogate from a fair trial. The vagaries of eyewitness identification are well-known; the annals of criminal law are rife with instances of mistaken identification. 6 Mr. Justice Frankfurter once said: "What is the worth of identification testimony even when uncontradicted? The identification of strangers is proverbially untrustworthy. The hazards of such testimony are established by a formidable number of instances in the records of English and American trials. These instances are recent not due to the brutalities of ancient criminal procedure." The Case of Sacco and Vanzetti 30 (1927). A major factor contributing to the high incidence of miscarriage of justice from mistaken identification has been the degree of suggestion inherent in the manner in which the prosecution presents the suspect to witnesses for pretrial identification. A commentator [388 U.S. 218, 229] has observed that "[t]he influence of improper suggestion upon identifying witnesses probably accounts for more miscarriages of justice than any other single factor perhaps it is responsible for more such errors than all other factors combined." Wall, Eye-Witness Identification in Criminal Cases 26. Suggestion can be created intentionally or unintentionally in many subtle ways. 7 And the dangers for the suspect are particularly grave when the witness' opportunity for observation was insubstantial, and thus his susceptibility to suggestion the greatest.</w:t>
      </w:r>
    </w:p>
    <w:p w14:paraId="57518454" w14:textId="7660DB0B" w:rsidR="379AD382" w:rsidRDefault="379AD382" w:rsidP="335CF40B">
      <w:pPr>
        <w:ind w:left="720"/>
        <w:rPr>
          <w:color w:val="000000" w:themeColor="text1"/>
        </w:rPr>
      </w:pPr>
      <w:r w:rsidRPr="335CF40B">
        <w:rPr>
          <w:color w:val="000000" w:themeColor="text1"/>
        </w:rPr>
        <w:t xml:space="preserve">Moreover, "[i]t is a matter of common experience that, once a witness has picked out the accused at the line-up, he is not likely to go back on his word later on, so that in practice the issue of identity may (in the absence of other relevant evidence) for all practical purposes be determined there and then, before the trial." </w:t>
      </w:r>
    </w:p>
    <w:p w14:paraId="336021E1" w14:textId="3BA75583" w:rsidR="379AD382" w:rsidRDefault="379AD382" w:rsidP="335CF40B">
      <w:pPr>
        <w:ind w:left="720"/>
        <w:rPr>
          <w:color w:val="000000" w:themeColor="text1"/>
        </w:rPr>
      </w:pPr>
      <w:r w:rsidRPr="335CF40B">
        <w:rPr>
          <w:color w:val="000000" w:themeColor="text1"/>
        </w:rPr>
        <w:t>The pretrial confrontation for purpose of identification may take the form of a line-up, also known as an "identification parade" or "show up," as in the present case, or presentation of the suspect alone to the witness, as in Stovall v. Denno, supra. It is obvious that risks of suggestion attend either form of confrontation and increase the dangers inhering in eyewitness identification. 9 But [388 U.S. 218, 230] as is the case with secret interrogations, there is serious difficulty in depicting what transpires at line-ups and other forms of identification confrontations. "Privacy results in secrecy and this in turn results in a gap in our knowledge as to what in fact goes on . . . ." Miranda v. Arizona, supra, at 448. For the same reasons, the defense can seldom reconstruct the manner and mode of line-up identification for judge or jury at trial. Those participating in a line-up with the accused may often be police officers; 10 in any event, the participants' names are rarely recorded or divulged at trial. 11 The impediments to an objective observation are increased when the victim is the witness. Line-ups are prevalent in rape and robbery prosecutions and present a particular hazard that a victim's understandable outrage may excite vengeful or spiteful motives. 12 In any event, neither witnesses nor line-up participants are apt to be alert for conditions prejudicial to the suspect. And if they were, it would likely be of scant benefit to the suspect since neither witnesses nor line-up participants are likely to be schooled in the detection of suggestive influences. 13 Improper influences [388 U.S. 218, 231]   may go undetected by a suspect, guilty or not, who experiences the emotional tension which we might expect in one being confronted with potential accusers. 14 Even when he does observe abuse, if he has a criminal record he may be reluctant to take the stand and open up the admission of prior convictions. Moreover, any protestations by the suspect of the fairness of the line-up made at trial are likely to be in vain; 15 the jury's choice is between the accused's unsupported version and that of the police officers present. 16 In short, the accused's [388 U.S. 218, 232] inability effectively to reconstruct at trial any unfairness that occurred at the line-up may deprive him of his only opportunity meaningfully to attack the credibility of the witness' courtroom identification.</w:t>
      </w:r>
    </w:p>
    <w:p w14:paraId="45346AAE" w14:textId="2E3476FA" w:rsidR="379AD382" w:rsidRDefault="379AD382" w:rsidP="335CF40B">
      <w:pPr>
        <w:ind w:left="720"/>
        <w:rPr>
          <w:color w:val="000000" w:themeColor="text1"/>
        </w:rPr>
      </w:pPr>
      <w:r w:rsidRPr="335CF40B">
        <w:rPr>
          <w:color w:val="000000" w:themeColor="text1"/>
        </w:rPr>
        <w:t>What facts have been disclosed in specific cases about the conduct of pretrial confrontations for identification illustrates both the potential for substantial prejudice to the accused at that stage and the need for its revelation at trial. A commentator provides some striking examples:</w:t>
      </w:r>
    </w:p>
    <w:p w14:paraId="40387FB7" w14:textId="3A4BE8AD" w:rsidR="379AD382" w:rsidRDefault="379AD382" w:rsidP="335CF40B">
      <w:pPr>
        <w:ind w:left="720"/>
        <w:rPr>
          <w:color w:val="000000" w:themeColor="text1"/>
        </w:rPr>
      </w:pPr>
      <w:r w:rsidRPr="335CF40B">
        <w:rPr>
          <w:color w:val="000000" w:themeColor="text1"/>
        </w:rPr>
        <w:t xml:space="preserve">“In a Canadian case . . . the defendant had been picked out of a line-up of six men, of which he was the only Oriental. In other cases, a black-haired suspect was placed among a group of light-haired persons, tall suspects have been made to stand with short non-suspects, and, in a case where the perpetrator of the crime was known to be a youth, a suspect under twenty was placed in a line-up with five other persons, all of whom were forty or over." </w:t>
      </w:r>
    </w:p>
    <w:p w14:paraId="0248A92E" w14:textId="20676723" w:rsidR="379AD382" w:rsidRDefault="379AD382" w:rsidP="335CF40B">
      <w:pPr>
        <w:ind w:left="720"/>
        <w:rPr>
          <w:color w:val="000000" w:themeColor="text1"/>
        </w:rPr>
      </w:pPr>
      <w:r w:rsidRPr="335CF40B">
        <w:rPr>
          <w:color w:val="000000" w:themeColor="text1"/>
        </w:rPr>
        <w:t xml:space="preserve">Similarly state reports, in the course of describing prior identifications admitted as evidence of guilt, reveal numerous instances of suggestive procedures, for example, that all in the line-up but the suspect were known to the identifying witness,  that the other participants in a line-up were grossly dissimilar in appearance to the suspect,  that only the suspect was required to wear distinctive clothing which the culprit allegedly wore,  that the witness is told by the police that they have caught the culprit after which the defendant is brought before the witness alone or is viewed in jail, that the suspect is pointed out before or during a line-up,  and that the participants in the line-up are asked to try on an article of clothing which fits only the suspect. </w:t>
      </w:r>
    </w:p>
    <w:p w14:paraId="09395694" w14:textId="5BEDC9DB" w:rsidR="379AD382" w:rsidRDefault="379AD382" w:rsidP="335CF40B">
      <w:pPr>
        <w:ind w:left="720"/>
        <w:rPr>
          <w:color w:val="000000" w:themeColor="text1"/>
        </w:rPr>
      </w:pPr>
      <w:r w:rsidRPr="335CF40B">
        <w:rPr>
          <w:color w:val="000000" w:themeColor="text1"/>
        </w:rPr>
        <w:t xml:space="preserve">The potential for improper influence is illustrated by the circumstances, insofar as they appear, surrounding the prior identifications in the three cases we decide today. In the present case, the testimony of the identifying witnesses elicited on cross-examination revealed that those witnesses were taken to the courthouse and seated in the courtroom to await assembly of the line-up. The courtroom faced on a hallway observable to the witnesses through an open door. The cashier testified that she saw Wade "standing in the hall" within sight of an FBI agent. Five or six other prisoners later appeared in the hall. The vice president testified that he saw a person in the hall in the custody of the agent who "resembled the person that we identified as the one that had entered the bank."   </w:t>
      </w:r>
    </w:p>
    <w:p w14:paraId="3D48239A" w14:textId="26612753" w:rsidR="379AD382" w:rsidRDefault="379AD382" w:rsidP="335CF40B">
      <w:pPr>
        <w:ind w:left="720"/>
        <w:rPr>
          <w:color w:val="000000" w:themeColor="text1"/>
        </w:rPr>
      </w:pPr>
      <w:r w:rsidRPr="335CF40B">
        <w:rPr>
          <w:color w:val="000000" w:themeColor="text1"/>
        </w:rPr>
        <w:t>The line-up in Gilbert, supra, was conducted in an auditorium in which some 100 witnesses to several alleged state and federal robberies charged to Gilbert made wholesale identifications of Gilbert as the robber in each other's presence, a procedure said to be fraught with dangers of suggestion.  And the vice of suggestion created by the identification in Stovall, supra, was the presentation to the witness of the suspect alone handcuffed to police officers. It is hard to imagine a situation more clearly conveying the suggestion to the witness that the one presented is believed guilty by the police. See Frankfurter, The Case of Sacco and Vanzetti 31-32.</w:t>
      </w:r>
    </w:p>
    <w:p w14:paraId="76E47E87" w14:textId="1311EE3E" w:rsidR="379AD382" w:rsidRDefault="379AD382" w:rsidP="335CF40B">
      <w:pPr>
        <w:ind w:left="720"/>
        <w:rPr>
          <w:color w:val="000000" w:themeColor="text1"/>
        </w:rPr>
      </w:pPr>
      <w:r w:rsidRPr="335CF40B">
        <w:rPr>
          <w:color w:val="000000" w:themeColor="text1"/>
        </w:rPr>
        <w:t>The few cases that have surfaced therefore reveal the existence of a process attended with hazards of serious unfairness to the criminal accused and strongly suggest the plight of the more numerous defendants who are unable to ferret out suggestive influences in the [388 U.S. 218, 235] secrecy of the confrontation. We do not assume that these risks are the result of police procedures intentionally designed to prejudice an accused. Rather we assume they derive from the dangers inherent in eyewitness identification and the suggestibility inherent in the context of the pretrial identification. Williams &amp; Hammelmann, in one of the most comprehensive studies of such forms of identification, said, "[T]he fact that the police themselves have, in a given case, little or no doubt that the man put up for identification has committed the offense, and that their chief pre-occupation is with the problem of getting sufficient proof, because he has not `come clean,' involves a danger that this persuasion may communicate itself even in a doubtful case to the witness in some way . . . ." Identification Parades, Part I, 1963. Crim. L. Rev. 479, 483.</w:t>
      </w:r>
    </w:p>
    <w:p w14:paraId="5FE365FC" w14:textId="4630F6BB" w:rsidR="379AD382" w:rsidRDefault="379AD382" w:rsidP="335CF40B">
      <w:pPr>
        <w:ind w:left="720"/>
        <w:rPr>
          <w:color w:val="000000" w:themeColor="text1"/>
        </w:rPr>
      </w:pPr>
      <w:r w:rsidRPr="335CF40B">
        <w:rPr>
          <w:color w:val="000000" w:themeColor="text1"/>
        </w:rPr>
        <w:t>Insofar as the accused's conviction may rest on a courtroom identification in fact the fruit of a suspect pretrial identification which the accused is helpless to subject to effective scrutiny at trial, the accused is deprived of that right of cross-examination which is an essential safeguard to his right to confront the witnesses against him. Pointer v. Texas, 380 U.S. 400. And even though cross-examination is a precious safeguard to a fair trial, it cannot be viewed as an absolute assurance of accuracy and reliability. Thus in the present context, where so many variables and pitfalls exist, the first line of defense must be the prevention of unfairness and the lessening of the hazards of eyewitness identification at the line-up itself. The trial which might determine the accused's fate may well not be that in the courtroom but that at the pretrial confrontation, with the State aligned against the accused, the witness the sole jury, and the accused unprotected against the overreaching, intentional or unintentional, and with little or no effective appeal from the judgment there rendered by the witness "that's the man."</w:t>
      </w:r>
    </w:p>
    <w:p w14:paraId="1BF72066" w14:textId="663E0EBA" w:rsidR="379AD382" w:rsidRDefault="379AD382" w:rsidP="335CF40B">
      <w:pPr>
        <w:ind w:left="720"/>
        <w:rPr>
          <w:color w:val="000000" w:themeColor="text1"/>
        </w:rPr>
      </w:pPr>
      <w:r w:rsidRPr="335CF40B">
        <w:rPr>
          <w:color w:val="000000" w:themeColor="text1"/>
        </w:rPr>
        <w:t>Since it appears that there is grave potential for prejudice, intentional or not, in the pretrial line-up, which may not be capable of reconstruction at trial, and since presence of counsel itself can often avert prejudice and assure a meaningful confrontation at trial, 26 there can be little doubt that for Wade the post-indictment line-up was a critical stage of the prosecution at which he was "as much entitled to such aid [of counsel] . . . as at the trial itself." Powell v. Alabama, 287 U.S. 45, 57. Thus both Wade and his counsel should have been notified of the impending line-up, and counsel's presence should have been a requisite to conduct of the line-up, absent an "intelligent waiver." See Carnley v. Cochran, 369 U.S. 506. No substantial countervailing policy considerations have been advanced against the requirement of the presence of counsel. Concern is expressed that the requirement will forestall prompt identifications and result in obstruction of the confrontations. As for the first, we note that in the two cases in which the right to counsel is today held to apply, counsel had already been appointed and no argument is made in either case that notice to counsel would have prejudicially delayed the confrontations. Moreover, we leave open the question whether the presence of substitute counsel might not suffice where notification and presence of the suspect's own counsel would result in prejudicial delay. 27 And to refuse to recognize the right to counsel for fear that counsel will obstruct the course of justice is contrary to the [388 U.S. 218, 238]   basic assumptions upon which this Court has operated in Sixth Amendment cases. We rejected similar logic in Miranda v. Arizona concerning presence of counsel during custodial interrogation, 384 U.S., at 480 -481:</w:t>
      </w:r>
    </w:p>
    <w:p w14:paraId="5F225A5A" w14:textId="70880F1A" w:rsidR="379AD382" w:rsidRDefault="379AD382" w:rsidP="335CF40B">
      <w:pPr>
        <w:ind w:left="720"/>
        <w:rPr>
          <w:color w:val="000000" w:themeColor="text1"/>
        </w:rPr>
      </w:pPr>
      <w:r w:rsidRPr="335CF40B">
        <w:rPr>
          <w:color w:val="000000" w:themeColor="text1"/>
        </w:rPr>
        <w:t>"[A]n attorney is merely exercising the good professional judgment he has been taught. This is not cause for considering the attorney a menace to law enforcement. He is merely carrying out what he is sworn to do under his oath to protect to the extent of his ability the rights of his client. In fulfilling this responsibility the attorney plays a vital role in the administration of criminal justice under our Constitution."</w:t>
      </w:r>
    </w:p>
    <w:p w14:paraId="234EB94E" w14:textId="4E254B12" w:rsidR="379AD382" w:rsidRDefault="379AD382" w:rsidP="335CF40B">
      <w:pPr>
        <w:ind w:left="720"/>
        <w:rPr>
          <w:color w:val="000000" w:themeColor="text1"/>
        </w:rPr>
      </w:pPr>
      <w:r w:rsidRPr="335CF40B">
        <w:rPr>
          <w:color w:val="000000" w:themeColor="text1"/>
        </w:rPr>
        <w:t xml:space="preserve">In our view counsel can hardly impede legitimate law enforcement; on the contrary, for the reasons expressed, law enforcement may be assisted by preventing the infiltration of taint in the prosecution's identification evidence. 28 That result cannot help the guilty avoid conviction but can only help assure that the right man has been brought to justice. </w:t>
      </w:r>
    </w:p>
    <w:p w14:paraId="20DE87B7" w14:textId="2A5D041C" w:rsidR="379AD382" w:rsidRDefault="379AD382" w:rsidP="335CF40B">
      <w:pPr>
        <w:ind w:left="720"/>
        <w:rPr>
          <w:color w:val="000000" w:themeColor="text1"/>
        </w:rPr>
      </w:pPr>
      <w:r w:rsidRPr="335CF40B">
        <w:rPr>
          <w:color w:val="000000" w:themeColor="text1"/>
        </w:rPr>
        <w:t>Legislative or other regulations, such as those of local police departments, which eliminate the risks of abuse and unintentional suggestion at line-up proceedings and the impediments to meaningful confrontation at trial may also remove the basis for regarding the stage as "critical." 30 But neither Congress nor the federal authorities have seen fit to provide a solution. What we hold today "in no way creates a constitutional strait-jacket which will handicap sound efforts at reform, nor is it intended to have this effect." Miranda v. Arizona, supra, at 467.</w:t>
      </w:r>
    </w:p>
    <w:p w14:paraId="54D9B97E" w14:textId="4C8DF60C" w:rsidR="379AD382" w:rsidRDefault="379AD382" w:rsidP="335CF40B">
      <w:pPr>
        <w:ind w:left="720"/>
        <w:rPr>
          <w:color w:val="000000" w:themeColor="text1"/>
        </w:rPr>
      </w:pPr>
      <w:r w:rsidRPr="335CF40B">
        <w:rPr>
          <w:color w:val="000000" w:themeColor="text1"/>
        </w:rPr>
        <w:t>V.     We come now to the question whether the denial of Wade's motion to strike the courtroom identification by the bank witnesses at trial because of the absence of his counsel at the line-up required, as the Court of Appeals held, the grant of a new trial at which such evidence is [388 U.S. 218, 240] to be excluded. We do not think this disposition can be justified without first giving the Government the opportunity to establish by clear and convincing evidence that the in-court identifications were based upon observations of the suspect other than the line-up identification. See Murphy v. Waterfront Commission, 378 U.S. 52, 79, n. 18. 31 Where, as here, the admissibility of evidence of the line-up identification itself is not involved, a per se rule of exclusion of courtroom identification would be unjustified. 32 See Nardone v. United States, 308 U.S. 338, 341. A rule limited solely to the exclusion of testimony concerning identification at the line-up itself, without regard to admissibility of the courtroom identification, would render the right to counsel an empty one. The line-up is most often used, as in the present case, to crystallize the witnesses' identification of the defendant for future reference. We have already noted that the line-up identification will have that effect. The State may then rest upon the witnesses' unequivocal courtroom identification, and not mention the pretrial identification as part of the State's case at trial. Counsel is then in the predicament in which Wade's counsel found himself realizing that possible unfairness at the line-up may be the sole means of attack upon the unequivocal courtroom identification, and having to probe in the dark [388 U.S. 218, 241]  in an attempt to discover and reveal unfairness, while bolstering the government witness' courtroom identification by bringing out and dwelling upon his prior identification. Since counsel's presence at the line-up would equip him to attack not only the line-up identification but the courtroom identification as well, limiting the impact of violation of the right to counsel to exclusion of evidence only of identification at the line-up itself disregards a critical element of that right.</w:t>
      </w:r>
    </w:p>
    <w:p w14:paraId="4614A510" w14:textId="0E5A90A0" w:rsidR="379AD382" w:rsidRDefault="379AD382" w:rsidP="335CF40B">
      <w:pPr>
        <w:ind w:left="720"/>
        <w:rPr>
          <w:color w:val="000000" w:themeColor="text1"/>
        </w:rPr>
      </w:pPr>
      <w:r w:rsidRPr="335CF40B">
        <w:rPr>
          <w:color w:val="000000" w:themeColor="text1"/>
        </w:rPr>
        <w:t xml:space="preserve">We think it follows that the proper test to be applied in these situations is that quoted in Wong Sun v. United States, 371 U.S. 471, 488, "`[W]hether, granting establishment of the primary illegality, the evidence to which instant objection is made has been come at by exploitation of that illegality or instead by means sufficiently distinguishable to be purged of the primary taint.' Maguire, Evidence of Guilt 221 (1959)." See also Hoffa v. United States, 385 U.S. 293, 309. Application of this test in the present context requires consideration of various factors; for example, the prior opportunity to observe the alleged criminal act, the existence of any discrepancy between any pre-line-up description and the defendant's actual description, any identification prior to line-up of another person, the identification by picture of the defendant prior to the line-up, failure to identify the defendant on a prior occasion, and the lapse of time between the alleged act and the line-up identification. It is also relevant to consider those facts which, despite the absence of counsel, are disclosed concerning the conduct of the line-up. </w:t>
      </w:r>
    </w:p>
    <w:p w14:paraId="584D82F4" w14:textId="2546024A" w:rsidR="379AD382" w:rsidRDefault="379AD382" w:rsidP="335CF40B">
      <w:pPr>
        <w:ind w:left="720"/>
        <w:rPr>
          <w:color w:val="000000" w:themeColor="text1"/>
        </w:rPr>
      </w:pPr>
      <w:r w:rsidRPr="335CF40B">
        <w:rPr>
          <w:color w:val="000000" w:themeColor="text1"/>
        </w:rPr>
        <w:t>We doubt that the Court of Appeals applied the proper test for exclusion of the in-court identification of the two witnesses. The court stated that "it cannot be said with any certainty that they would have recognized appellant at the time of trial if this intervening line-up had not occurred," and that the testimony of the two witnesses "may well have been colored by the illegal procedure [and] was prejudicial." 358 F.2d, at 560. Moreover, the court was persuaded, in part, by the "compulsory verbal responses made by Wade at the instance of the Special Agent." Ibid. This implies the erroneous holding that Wade's privilege against self-incrimination was violated so that the denial of counsel required exclusion.</w:t>
      </w:r>
    </w:p>
    <w:p w14:paraId="27FA1043" w14:textId="7DE36582" w:rsidR="379AD382" w:rsidRDefault="379AD382" w:rsidP="335CF40B">
      <w:pPr>
        <w:ind w:left="720"/>
        <w:rPr>
          <w:color w:val="000000" w:themeColor="text1"/>
        </w:rPr>
      </w:pPr>
      <w:r w:rsidRPr="335CF40B">
        <w:rPr>
          <w:color w:val="000000" w:themeColor="text1"/>
        </w:rPr>
        <w:t xml:space="preserve">On the record now before us we cannot make the determination whether the in-court identifications had an independent origin. This was not an issue at trial, although there is some evidence relevant to a determination. That inquiry is most properly made in the District Court. We therefore think the appropriate procedure to be followed is to vacate the conviction pending a hearing to determine whether the in-court identifications had an independent source, or whether, in any event, the introduction of the evidence was harmless error, Chapman v. California, 386 U.S. 18, and for the District Court to reinstate the conviction or order a new trial, as may be proper. See United States v. Shotwell Mfg. Co., 355 U.S. 233, 245 -246. [388 U.S. 218, 243]   </w:t>
      </w:r>
    </w:p>
    <w:p w14:paraId="415AC46C" w14:textId="36881D01" w:rsidR="379AD382" w:rsidRDefault="379AD382" w:rsidP="335CF40B">
      <w:pPr>
        <w:rPr>
          <w:color w:val="000000" w:themeColor="text1"/>
        </w:rPr>
      </w:pPr>
      <w:r w:rsidRPr="335CF40B">
        <w:rPr>
          <w:color w:val="000000" w:themeColor="text1"/>
        </w:rPr>
        <w:t>The judgment of the Court of Appeals is vacated and the case is remanded to that court with direction to enter a new judgment vacating the conviction and remanding the case to the District Court for further proceedings consistent with this opinion.</w:t>
      </w:r>
    </w:p>
    <w:sectPr w:rsidR="379AD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CD0546"/>
    <w:multiLevelType w:val="hybridMultilevel"/>
    <w:tmpl w:val="28B02DFE"/>
    <w:lvl w:ilvl="0" w:tplc="9A2E40E0">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EA3"/>
    <w:rsid w:val="00192EA3"/>
    <w:rsid w:val="00A605C4"/>
    <w:rsid w:val="00BF4D6A"/>
    <w:rsid w:val="09261B3F"/>
    <w:rsid w:val="0F0ACD5B"/>
    <w:rsid w:val="14D85201"/>
    <w:rsid w:val="23AF337B"/>
    <w:rsid w:val="24F70997"/>
    <w:rsid w:val="335CF40B"/>
    <w:rsid w:val="3775AEA5"/>
    <w:rsid w:val="379AD382"/>
    <w:rsid w:val="37E206BE"/>
    <w:rsid w:val="415CA81C"/>
    <w:rsid w:val="508A259B"/>
    <w:rsid w:val="5B0F4315"/>
    <w:rsid w:val="656E7229"/>
    <w:rsid w:val="6704F496"/>
    <w:rsid w:val="6AB3C6DB"/>
    <w:rsid w:val="6DE9069B"/>
    <w:rsid w:val="7A1B0FEF"/>
    <w:rsid w:val="7AD60E66"/>
    <w:rsid w:val="7BF293E4"/>
    <w:rsid w:val="7C740A19"/>
    <w:rsid w:val="7FEF7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0FF8"/>
  <w15:chartTrackingRefBased/>
  <w15:docId w15:val="{8C58A82B-C222-41F1-9D25-1B7314C1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6027</Words>
  <Characters>34355</Characters>
  <Application>Microsoft Office Word</Application>
  <DocSecurity>0</DocSecurity>
  <Lines>286</Lines>
  <Paragraphs>80</Paragraphs>
  <ScaleCrop>false</ScaleCrop>
  <Company/>
  <LinksUpToDate>false</LinksUpToDate>
  <CharactersWithSpaces>40302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Hayden</dc:creator>
  <cp:keywords/>
  <dc:description/>
  <cp:lastModifiedBy>Hannah Hayden</cp:lastModifiedBy>
  <cp:revision>2</cp:revision>
  <dcterms:created xsi:type="dcterms:W3CDTF">2020-10-16T20:32:00Z</dcterms:created>
  <dcterms:modified xsi:type="dcterms:W3CDTF">2020-10-16T20:32:00Z</dcterms:modified>
</cp:coreProperties>
</file>